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7DB55"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BEFORE THE GEORGIA PUBLIC SERVICE COMMISSION</w:t>
      </w:r>
    </w:p>
    <w:p w14:paraId="6E26008D"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42F015AA"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GEORGIA POWER COMPANY</w:t>
      </w:r>
    </w:p>
    <w:p w14:paraId="0F7BE41E" w14:textId="77777777" w:rsidR="0098110E" w:rsidRPr="001F02CF" w:rsidRDefault="0098110E" w:rsidP="0098110E">
      <w:pPr>
        <w:suppressAutoHyphens/>
        <w:spacing w:after="0" w:line="240" w:lineRule="auto"/>
        <w:jc w:val="center"/>
        <w:rPr>
          <w:rFonts w:ascii="Times New Roman" w:eastAsia="Times New Roman" w:hAnsi="Times New Roman" w:cs="Times New Roman"/>
          <w:b/>
          <w:bCs/>
          <w:color w:val="000000"/>
          <w:sz w:val="24"/>
          <w:szCs w:val="24"/>
        </w:rPr>
      </w:pPr>
      <w:r w:rsidRPr="001F02CF">
        <w:rPr>
          <w:rFonts w:ascii="Times New Roman" w:eastAsia="Times New Roman" w:hAnsi="Times New Roman" w:cs="Times New Roman"/>
          <w:b/>
          <w:spacing w:val="-3"/>
          <w:sz w:val="24"/>
          <w:szCs w:val="24"/>
        </w:rPr>
        <w:t xml:space="preserve">DOCKET NO. </w:t>
      </w:r>
      <w:r w:rsidRPr="001F02CF">
        <w:rPr>
          <w:rFonts w:ascii="Times New Roman" w:eastAsia="Times New Roman" w:hAnsi="Times New Roman" w:cs="Times New Roman"/>
          <w:b/>
          <w:bCs/>
          <w:color w:val="000000"/>
          <w:sz w:val="24"/>
          <w:szCs w:val="24"/>
        </w:rPr>
        <w:t>44280</w:t>
      </w:r>
    </w:p>
    <w:p w14:paraId="1EEAFFB5" w14:textId="77777777" w:rsidR="0098110E" w:rsidRPr="001F02CF" w:rsidRDefault="0098110E" w:rsidP="0098110E">
      <w:pPr>
        <w:suppressAutoHyphens/>
        <w:spacing w:after="0" w:line="240" w:lineRule="auto"/>
        <w:jc w:val="center"/>
        <w:rPr>
          <w:rFonts w:ascii="Times New Roman" w:eastAsia="Times New Roman" w:hAnsi="Times New Roman" w:cs="Times New Roman"/>
          <w:b/>
          <w:bCs/>
          <w:sz w:val="24"/>
          <w:szCs w:val="24"/>
        </w:rPr>
      </w:pPr>
      <w:r w:rsidRPr="001F02CF">
        <w:rPr>
          <w:rFonts w:ascii="Times New Roman" w:eastAsia="Times New Roman" w:hAnsi="Times New Roman" w:cs="Times New Roman"/>
          <w:b/>
          <w:bCs/>
          <w:sz w:val="24"/>
          <w:szCs w:val="24"/>
        </w:rPr>
        <w:t>Georgia Power Company’s 2022 Rate Case</w:t>
      </w:r>
    </w:p>
    <w:p w14:paraId="38608E0F"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63260EBD" w14:textId="4699E834" w:rsidR="00221424" w:rsidRPr="001F02CF" w:rsidRDefault="0044260D" w:rsidP="00221424">
      <w:pPr>
        <w:spacing w:after="0" w:line="240" w:lineRule="auto"/>
        <w:jc w:val="center"/>
        <w:rPr>
          <w:rFonts w:ascii="Times New Roman" w:eastAsia="Times New Roman" w:hAnsi="Times New Roman" w:cs="Times New Roman"/>
          <w:b/>
          <w:sz w:val="24"/>
          <w:szCs w:val="20"/>
        </w:rPr>
      </w:pPr>
      <w:bookmarkStart w:id="0" w:name="_Hlk199497017"/>
      <w:r>
        <w:rPr>
          <w:rFonts w:ascii="Times New Roman" w:eastAsia="Times New Roman" w:hAnsi="Times New Roman" w:cs="Times New Roman"/>
          <w:b/>
          <w:sz w:val="24"/>
          <w:szCs w:val="20"/>
        </w:rPr>
        <w:t>Direct Testimony in Support of the Stipulation to Extend the ARP</w:t>
      </w:r>
      <w:bookmarkEnd w:id="0"/>
    </w:p>
    <w:p w14:paraId="11C3F2C4" w14:textId="01988F9B" w:rsidR="00221424" w:rsidRDefault="00221424" w:rsidP="00221424">
      <w:pPr>
        <w:suppressAutoHyphens/>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t>Exhibit APA</w:t>
      </w:r>
      <w:r w:rsidR="0021671C">
        <w:rPr>
          <w:rFonts w:ascii="Times New Roman" w:eastAsia="Times New Roman" w:hAnsi="Times New Roman" w:cs="Times New Roman"/>
          <w:b/>
          <w:spacing w:val="-3"/>
          <w:sz w:val="24"/>
          <w:szCs w:val="24"/>
        </w:rPr>
        <w:t>/</w:t>
      </w:r>
      <w:r>
        <w:rPr>
          <w:rFonts w:ascii="Times New Roman" w:eastAsia="Times New Roman" w:hAnsi="Times New Roman" w:cs="Times New Roman"/>
          <w:b/>
          <w:spacing w:val="-3"/>
          <w:sz w:val="24"/>
          <w:szCs w:val="24"/>
        </w:rPr>
        <w:t>MSB-2</w:t>
      </w:r>
    </w:p>
    <w:p w14:paraId="2957796E"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1BDA434F"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 xml:space="preserve">BASIS FOR THE ASSERTION THAT THE </w:t>
      </w:r>
    </w:p>
    <w:p w14:paraId="1F54F914"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INFORMATION SUBMITTED IS A TRADE SECRET</w:t>
      </w:r>
    </w:p>
    <w:p w14:paraId="65088553" w14:textId="77777777" w:rsidR="0098110E" w:rsidRPr="001F02CF" w:rsidRDefault="0098110E" w:rsidP="0098110E">
      <w:pPr>
        <w:suppressAutoHyphens/>
        <w:spacing w:after="0" w:line="240" w:lineRule="auto"/>
        <w:rPr>
          <w:rFonts w:ascii="Times New Roman" w:eastAsia="Times New Roman" w:hAnsi="Times New Roman" w:cs="Times New Roman"/>
          <w:spacing w:val="-3"/>
          <w:sz w:val="24"/>
          <w:szCs w:val="24"/>
        </w:rPr>
      </w:pPr>
    </w:p>
    <w:p w14:paraId="12EFBA2A" w14:textId="06956FAD" w:rsidR="0098110E" w:rsidRPr="006A51FD" w:rsidRDefault="0098110E" w:rsidP="0098110E">
      <w:pPr>
        <w:suppressAutoHyphens/>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pacing w:val="-3"/>
          <w:sz w:val="24"/>
          <w:szCs w:val="24"/>
        </w:rPr>
        <w:tab/>
        <w:t xml:space="preserve">As part of Georgia Power Company’s 2022 Rate Case filed in Docket No. 44280 (“2022 Rate Case”), Georgia Power Company (“Georgia Power” or the “Company”) submits to the Georgia Public Service Commission its </w:t>
      </w:r>
      <w:bookmarkStart w:id="1" w:name="_Hlk199497098"/>
      <w:r w:rsidR="001D6AC7">
        <w:rPr>
          <w:rFonts w:ascii="Times New Roman" w:eastAsia="Times New Roman" w:hAnsi="Times New Roman" w:cs="Times New Roman"/>
          <w:spacing w:val="-3"/>
          <w:sz w:val="24"/>
          <w:szCs w:val="24"/>
        </w:rPr>
        <w:t xml:space="preserve">Direct Testimony in Support of the Stipulation to Extend the Alternate Rate Plan </w:t>
      </w:r>
      <w:r w:rsidR="006A51FD">
        <w:rPr>
          <w:rFonts w:ascii="Times New Roman" w:eastAsia="Times New Roman" w:hAnsi="Times New Roman" w:cs="Times New Roman"/>
          <w:spacing w:val="-3"/>
          <w:sz w:val="24"/>
          <w:szCs w:val="24"/>
        </w:rPr>
        <w:t>(the “</w:t>
      </w:r>
      <w:r w:rsidR="001D6AC7">
        <w:rPr>
          <w:rFonts w:ascii="Times New Roman" w:eastAsia="Times New Roman" w:hAnsi="Times New Roman" w:cs="Times New Roman"/>
          <w:spacing w:val="-3"/>
          <w:sz w:val="24"/>
          <w:szCs w:val="24"/>
        </w:rPr>
        <w:t>Direct Testimony</w:t>
      </w:r>
      <w:r w:rsidR="006A51FD">
        <w:rPr>
          <w:rFonts w:ascii="Times New Roman" w:eastAsia="Times New Roman" w:hAnsi="Times New Roman" w:cs="Times New Roman"/>
          <w:spacing w:val="-3"/>
          <w:sz w:val="24"/>
          <w:szCs w:val="24"/>
        </w:rPr>
        <w:t>”).</w:t>
      </w:r>
      <w:r w:rsidRPr="001F02CF">
        <w:rPr>
          <w:rFonts w:ascii="Times New Roman" w:eastAsia="Times New Roman" w:hAnsi="Times New Roman" w:cs="Times New Roman"/>
          <w:spacing w:val="-3"/>
          <w:sz w:val="24"/>
          <w:szCs w:val="24"/>
        </w:rPr>
        <w:t xml:space="preserve"> </w:t>
      </w:r>
      <w:bookmarkStart w:id="2" w:name="_Hlk199497112"/>
      <w:bookmarkEnd w:id="1"/>
      <w:r w:rsidR="001D6AC7">
        <w:rPr>
          <w:rFonts w:ascii="Times New Roman" w:eastAsia="Times New Roman" w:hAnsi="Times New Roman" w:cs="Times New Roman"/>
          <w:spacing w:val="-3"/>
          <w:sz w:val="24"/>
          <w:szCs w:val="24"/>
        </w:rPr>
        <w:t>As part of its Direct Testimony</w:t>
      </w:r>
      <w:r w:rsidRPr="001F02CF">
        <w:rPr>
          <w:rFonts w:ascii="Times New Roman" w:eastAsia="Times New Roman" w:hAnsi="Times New Roman" w:cs="Times New Roman"/>
          <w:spacing w:val="-3"/>
          <w:sz w:val="24"/>
          <w:szCs w:val="24"/>
        </w:rPr>
        <w:t xml:space="preserve">, the Company has provided </w:t>
      </w:r>
      <w:r w:rsidR="0044260D">
        <w:rPr>
          <w:rFonts w:ascii="Times New Roman" w:eastAsia="Times New Roman" w:hAnsi="Times New Roman" w:cs="Times New Roman"/>
          <w:spacing w:val="-3"/>
          <w:sz w:val="24"/>
          <w:szCs w:val="24"/>
        </w:rPr>
        <w:t>an exhibit</w:t>
      </w:r>
      <w:r w:rsidR="00221424">
        <w:rPr>
          <w:rFonts w:ascii="Times New Roman" w:eastAsia="Times New Roman" w:hAnsi="Times New Roman" w:cs="Times New Roman"/>
          <w:spacing w:val="-3"/>
          <w:sz w:val="24"/>
          <w:szCs w:val="24"/>
        </w:rPr>
        <w:t>—Exhibit APA</w:t>
      </w:r>
      <w:r w:rsidR="00F35600">
        <w:rPr>
          <w:rFonts w:ascii="Times New Roman" w:eastAsia="Times New Roman" w:hAnsi="Times New Roman" w:cs="Times New Roman"/>
          <w:spacing w:val="-3"/>
          <w:sz w:val="24"/>
          <w:szCs w:val="24"/>
        </w:rPr>
        <w:t>/</w:t>
      </w:r>
      <w:r w:rsidR="00221424">
        <w:rPr>
          <w:rFonts w:ascii="Times New Roman" w:eastAsia="Times New Roman" w:hAnsi="Times New Roman" w:cs="Times New Roman"/>
          <w:spacing w:val="-3"/>
          <w:sz w:val="24"/>
          <w:szCs w:val="24"/>
        </w:rPr>
        <w:t>MSB-2—</w:t>
      </w:r>
      <w:r w:rsidR="0044260D">
        <w:rPr>
          <w:rFonts w:ascii="Times New Roman" w:eastAsia="Times New Roman" w:hAnsi="Times New Roman" w:cs="Times New Roman"/>
          <w:spacing w:val="-3"/>
          <w:sz w:val="24"/>
          <w:szCs w:val="24"/>
        </w:rPr>
        <w:t xml:space="preserve">containing </w:t>
      </w:r>
      <w:bookmarkEnd w:id="2"/>
      <w:r w:rsidR="0044260D">
        <w:rPr>
          <w:rFonts w:ascii="Times New Roman" w:eastAsia="Times New Roman" w:hAnsi="Times New Roman" w:cs="Times New Roman"/>
          <w:spacing w:val="-3"/>
          <w:sz w:val="24"/>
          <w:szCs w:val="24"/>
        </w:rPr>
        <w:t>detailed rate base, requested rate of return, earnings requirements, and other sensitive revenue requirement information and amounts</w:t>
      </w:r>
      <w:r w:rsidR="00CB6C96">
        <w:rPr>
          <w:rFonts w:ascii="Times New Roman" w:eastAsia="Times New Roman" w:hAnsi="Times New Roman" w:cs="Times New Roman"/>
          <w:spacing w:val="-3"/>
          <w:sz w:val="24"/>
          <w:szCs w:val="24"/>
        </w:rPr>
        <w:t xml:space="preserve"> </w:t>
      </w:r>
      <w:r w:rsidRPr="006568BD">
        <w:rPr>
          <w:rFonts w:ascii="Times New Roman" w:eastAsia="Times New Roman" w:hAnsi="Times New Roman" w:cs="Times New Roman"/>
          <w:spacing w:val="-3"/>
          <w:sz w:val="24"/>
          <w:szCs w:val="24"/>
        </w:rPr>
        <w:t xml:space="preserve">(the </w:t>
      </w:r>
      <w:r w:rsidRPr="001F02CF">
        <w:rPr>
          <w:rFonts w:ascii="Times New Roman" w:eastAsia="Times New Roman" w:hAnsi="Times New Roman" w:cs="Times New Roman"/>
          <w:spacing w:val="-3"/>
          <w:sz w:val="24"/>
          <w:szCs w:val="24"/>
        </w:rPr>
        <w:t>“Information”). All such Information constitutes trade secret information of the Southern Company, Georgia Power, and its affiliates and is therefore protected from public disclosure under Commission Rule 515</w:t>
      </w:r>
      <w:r w:rsidR="00C71EA5">
        <w:rPr>
          <w:rFonts w:ascii="Times New Roman" w:eastAsia="Times New Roman" w:hAnsi="Times New Roman" w:cs="Times New Roman"/>
          <w:spacing w:val="-3"/>
          <w:sz w:val="24"/>
          <w:szCs w:val="24"/>
        </w:rPr>
        <w:noBreakHyphen/>
      </w:r>
      <w:r w:rsidRPr="001F02CF">
        <w:rPr>
          <w:rFonts w:ascii="Times New Roman" w:eastAsia="Times New Roman" w:hAnsi="Times New Roman" w:cs="Times New Roman"/>
          <w:spacing w:val="-3"/>
          <w:sz w:val="24"/>
          <w:szCs w:val="24"/>
        </w:rPr>
        <w:t>3</w:t>
      </w:r>
      <w:r w:rsidR="00C71EA5">
        <w:rPr>
          <w:rFonts w:ascii="Times New Roman" w:eastAsia="Times New Roman" w:hAnsi="Times New Roman" w:cs="Times New Roman"/>
          <w:spacing w:val="-3"/>
          <w:sz w:val="24"/>
          <w:szCs w:val="24"/>
        </w:rPr>
        <w:noBreakHyphen/>
      </w:r>
      <w:r w:rsidRPr="001F02CF">
        <w:rPr>
          <w:rFonts w:ascii="Times New Roman" w:eastAsia="Times New Roman" w:hAnsi="Times New Roman" w:cs="Times New Roman"/>
          <w:spacing w:val="-3"/>
          <w:sz w:val="24"/>
          <w:szCs w:val="24"/>
        </w:rPr>
        <w:t>1</w:t>
      </w:r>
      <w:r w:rsidR="00C71EA5">
        <w:rPr>
          <w:rFonts w:ascii="Times New Roman" w:eastAsia="Times New Roman" w:hAnsi="Times New Roman" w:cs="Times New Roman"/>
          <w:spacing w:val="-3"/>
          <w:sz w:val="24"/>
          <w:szCs w:val="24"/>
        </w:rPr>
        <w:noBreakHyphen/>
      </w:r>
      <w:r w:rsidRPr="001F02CF">
        <w:rPr>
          <w:rFonts w:ascii="Times New Roman" w:eastAsia="Times New Roman" w:hAnsi="Times New Roman" w:cs="Times New Roman"/>
          <w:spacing w:val="-3"/>
          <w:sz w:val="24"/>
          <w:szCs w:val="24"/>
        </w:rPr>
        <w:t>.11.</w:t>
      </w:r>
    </w:p>
    <w:p w14:paraId="11C59E26" w14:textId="77777777" w:rsidR="0098110E" w:rsidRPr="001F02CF" w:rsidRDefault="0098110E" w:rsidP="0098110E">
      <w:pPr>
        <w:suppressAutoHyphens/>
        <w:spacing w:after="0" w:line="240" w:lineRule="auto"/>
        <w:jc w:val="both"/>
        <w:rPr>
          <w:rFonts w:ascii="Times New Roman" w:eastAsia="Times New Roman" w:hAnsi="Times New Roman" w:cs="Times New Roman"/>
          <w:spacing w:val="-3"/>
          <w:sz w:val="24"/>
          <w:szCs w:val="24"/>
        </w:rPr>
      </w:pPr>
    </w:p>
    <w:p w14:paraId="6550D6D1" w14:textId="2BF39D88" w:rsidR="0098110E" w:rsidRPr="001D6AC7" w:rsidRDefault="0098110E" w:rsidP="001D6AC7">
      <w:pPr>
        <w:spacing w:after="0" w:line="240" w:lineRule="auto"/>
        <w:jc w:val="both"/>
        <w:rPr>
          <w:rFonts w:ascii="Times New Roman" w:hAnsi="Times New Roman" w:cs="Times New Roman"/>
          <w:sz w:val="24"/>
          <w:szCs w:val="24"/>
        </w:rPr>
      </w:pPr>
      <w:r w:rsidRPr="001F02CF">
        <w:rPr>
          <w:rFonts w:ascii="Times New Roman" w:eastAsia="Times New Roman" w:hAnsi="Times New Roman" w:cs="Times New Roman"/>
          <w:spacing w:val="-3"/>
          <w:sz w:val="24"/>
          <w:szCs w:val="24"/>
        </w:rPr>
        <w:tab/>
      </w:r>
      <w:r w:rsidRPr="001F02CF">
        <w:rPr>
          <w:rFonts w:ascii="Times New Roman" w:eastAsia="Times New Roman" w:hAnsi="Times New Roman" w:cs="Times New Roman"/>
          <w:sz w:val="24"/>
          <w:szCs w:val="24"/>
        </w:rPr>
        <w:t xml:space="preserve">The Information derives economic value from not being generally known to, and not being readily ascertainable by proper means by other persons who can obtain economic value from its disclosure or use. </w:t>
      </w:r>
      <w:r w:rsidRPr="006568BD">
        <w:rPr>
          <w:rFonts w:ascii="Times New Roman" w:eastAsia="Times New Roman" w:hAnsi="Times New Roman" w:cs="Times New Roman"/>
          <w:sz w:val="24"/>
          <w:szCs w:val="24"/>
        </w:rPr>
        <w:t xml:space="preserve">Specifically, the Information </w:t>
      </w:r>
      <w:r w:rsidR="00054D71" w:rsidRPr="006568BD">
        <w:rPr>
          <w:rFonts w:ascii="Times New Roman" w:eastAsia="Times New Roman" w:hAnsi="Times New Roman" w:cs="Times New Roman"/>
          <w:sz w:val="24"/>
          <w:szCs w:val="24"/>
        </w:rPr>
        <w:t xml:space="preserve">contains </w:t>
      </w:r>
      <w:r w:rsidR="00054D71" w:rsidRPr="006568BD">
        <w:rPr>
          <w:rFonts w:ascii="Times New Roman" w:hAnsi="Times New Roman" w:cs="Times New Roman"/>
          <w:sz w:val="24"/>
          <w:szCs w:val="24"/>
        </w:rPr>
        <w:t xml:space="preserve">detailed data related to the Company’s </w:t>
      </w:r>
      <w:r w:rsidR="00CB6C96">
        <w:rPr>
          <w:rFonts w:ascii="Times New Roman" w:hAnsi="Times New Roman" w:cs="Times New Roman"/>
          <w:sz w:val="24"/>
          <w:szCs w:val="24"/>
        </w:rPr>
        <w:t xml:space="preserve">projected rate base </w:t>
      </w:r>
      <w:r w:rsidR="007104DD">
        <w:rPr>
          <w:rFonts w:ascii="Times New Roman" w:hAnsi="Times New Roman" w:cs="Times New Roman"/>
          <w:sz w:val="24"/>
          <w:szCs w:val="24"/>
        </w:rPr>
        <w:t>and earnings for future years not previously disclosed to the public</w:t>
      </w:r>
      <w:r w:rsidR="00CB6C96">
        <w:rPr>
          <w:rFonts w:ascii="Times New Roman" w:hAnsi="Times New Roman" w:cs="Times New Roman"/>
          <w:sz w:val="24"/>
          <w:szCs w:val="24"/>
        </w:rPr>
        <w:t xml:space="preserve">. </w:t>
      </w:r>
      <w:r w:rsidR="0068084E">
        <w:rPr>
          <w:rFonts w:ascii="Times New Roman" w:hAnsi="Times New Roman" w:cs="Times New Roman"/>
          <w:sz w:val="24"/>
          <w:szCs w:val="24"/>
        </w:rPr>
        <w:t>The Information provides insight into the Company’s financials and expected level of operations for future years</w:t>
      </w:r>
      <w:r w:rsidR="00EA7231">
        <w:rPr>
          <w:rFonts w:ascii="Times New Roman" w:hAnsi="Times New Roman" w:cs="Times New Roman"/>
          <w:sz w:val="24"/>
          <w:szCs w:val="24"/>
        </w:rPr>
        <w:t>,</w:t>
      </w:r>
      <w:r w:rsidR="00C97722">
        <w:rPr>
          <w:rFonts w:ascii="Times New Roman" w:hAnsi="Times New Roman" w:cs="Times New Roman"/>
          <w:sz w:val="24"/>
          <w:szCs w:val="24"/>
        </w:rPr>
        <w:t xml:space="preserve"> including future capital and other investments as well as the level of revenues and expenses expected to materialize</w:t>
      </w:r>
      <w:r w:rsidR="004B3E0C">
        <w:rPr>
          <w:rFonts w:ascii="Times New Roman" w:hAnsi="Times New Roman" w:cs="Times New Roman"/>
          <w:sz w:val="24"/>
          <w:szCs w:val="24"/>
        </w:rPr>
        <w:t xml:space="preserve">. </w:t>
      </w:r>
      <w:r w:rsidR="009E1C45">
        <w:rPr>
          <w:rFonts w:ascii="Times New Roman" w:hAnsi="Times New Roman" w:cs="Times New Roman"/>
          <w:sz w:val="24"/>
          <w:szCs w:val="24"/>
        </w:rPr>
        <w:t>If disclosed, t</w:t>
      </w:r>
      <w:r w:rsidR="003C7E40">
        <w:rPr>
          <w:rFonts w:ascii="Times New Roman" w:hAnsi="Times New Roman" w:cs="Times New Roman"/>
          <w:sz w:val="24"/>
          <w:szCs w:val="24"/>
        </w:rPr>
        <w:t xml:space="preserve">he Information can be used </w:t>
      </w:r>
      <w:r w:rsidR="009E1C45">
        <w:rPr>
          <w:rFonts w:ascii="Times New Roman" w:hAnsi="Times New Roman" w:cs="Times New Roman"/>
          <w:sz w:val="24"/>
          <w:szCs w:val="24"/>
        </w:rPr>
        <w:t xml:space="preserve">by competitors </w:t>
      </w:r>
      <w:r w:rsidR="0096061C">
        <w:rPr>
          <w:rFonts w:ascii="Times New Roman" w:hAnsi="Times New Roman" w:cs="Times New Roman"/>
          <w:sz w:val="24"/>
          <w:szCs w:val="24"/>
        </w:rPr>
        <w:t xml:space="preserve">and others </w:t>
      </w:r>
      <w:r w:rsidR="00CB6C96">
        <w:rPr>
          <w:rFonts w:ascii="Times New Roman" w:hAnsi="Times New Roman" w:cs="Times New Roman"/>
          <w:sz w:val="24"/>
          <w:szCs w:val="24"/>
        </w:rPr>
        <w:t xml:space="preserve">to determine the Company’s strategies and plans, which could in turn be used to the Company’s detriment. Competitors could use the Information to create artificial floors or ceilings in competitive markets, which would prevent the Company from obtaining the best costs for goods and services. </w:t>
      </w:r>
      <w:r w:rsidR="00F36706">
        <w:rPr>
          <w:rFonts w:ascii="Times New Roman" w:hAnsi="Times New Roman" w:cs="Times New Roman"/>
          <w:sz w:val="24"/>
          <w:szCs w:val="24"/>
        </w:rPr>
        <w:t xml:space="preserve">Investors could use the Information to gain access to sensitive financial information to make decisions to the detriment of the Company and customers. </w:t>
      </w:r>
      <w:r w:rsidR="00CB6C96">
        <w:rPr>
          <w:rFonts w:ascii="Times New Roman" w:hAnsi="Times New Roman" w:cs="Times New Roman"/>
          <w:sz w:val="24"/>
          <w:szCs w:val="24"/>
        </w:rPr>
        <w:t xml:space="preserve">Further, potential rate case intervenors could use the Information to determine and establish rate case strategies and plans, undermining the </w:t>
      </w:r>
      <w:r w:rsidR="00221424">
        <w:rPr>
          <w:rFonts w:ascii="Times New Roman" w:hAnsi="Times New Roman" w:cs="Times New Roman"/>
          <w:sz w:val="24"/>
          <w:szCs w:val="24"/>
        </w:rPr>
        <w:t>benefits and value of a fully litigated proceeding before the Commission.</w:t>
      </w:r>
      <w:r w:rsidR="00635B8C">
        <w:rPr>
          <w:rFonts w:ascii="Times New Roman" w:hAnsi="Times New Roman" w:cs="Times New Roman"/>
          <w:sz w:val="24"/>
          <w:szCs w:val="24"/>
        </w:rPr>
        <w:t xml:space="preserve"> </w:t>
      </w:r>
      <w:r w:rsidR="00BD502A">
        <w:rPr>
          <w:rFonts w:ascii="Times New Roman" w:hAnsi="Times New Roman" w:cs="Times New Roman"/>
          <w:sz w:val="24"/>
          <w:szCs w:val="24"/>
        </w:rPr>
        <w:t>T</w:t>
      </w:r>
      <w:r w:rsidR="00054D71" w:rsidRPr="006568BD">
        <w:rPr>
          <w:rFonts w:ascii="Times New Roman" w:hAnsi="Times New Roman" w:cs="Times New Roman"/>
          <w:sz w:val="24"/>
          <w:szCs w:val="24"/>
        </w:rPr>
        <w:t xml:space="preserve">he Company’s competitors are generally not required to file </w:t>
      </w:r>
      <w:r w:rsidR="00BD502A">
        <w:rPr>
          <w:rFonts w:ascii="Times New Roman" w:hAnsi="Times New Roman" w:cs="Times New Roman"/>
          <w:sz w:val="24"/>
          <w:szCs w:val="24"/>
        </w:rPr>
        <w:t>such</w:t>
      </w:r>
      <w:r w:rsidR="00054D71" w:rsidRPr="006568BD">
        <w:rPr>
          <w:rFonts w:ascii="Times New Roman" w:hAnsi="Times New Roman" w:cs="Times New Roman"/>
          <w:sz w:val="24"/>
          <w:szCs w:val="24"/>
        </w:rPr>
        <w:t xml:space="preserve"> information.</w:t>
      </w:r>
      <w:r w:rsidR="00635B8C">
        <w:rPr>
          <w:rFonts w:ascii="Times New Roman" w:hAnsi="Times New Roman" w:cs="Times New Roman"/>
          <w:sz w:val="24"/>
          <w:szCs w:val="24"/>
        </w:rPr>
        <w:t xml:space="preserve"> </w:t>
      </w:r>
    </w:p>
    <w:p w14:paraId="694E06E9" w14:textId="77777777" w:rsidR="0098110E" w:rsidRPr="001F02CF" w:rsidRDefault="0098110E" w:rsidP="0098110E">
      <w:pPr>
        <w:spacing w:after="0" w:line="240" w:lineRule="auto"/>
        <w:jc w:val="both"/>
        <w:rPr>
          <w:rFonts w:ascii="Times New Roman" w:eastAsia="Times New Roman" w:hAnsi="Times New Roman" w:cs="Times New Roman"/>
          <w:sz w:val="24"/>
          <w:szCs w:val="20"/>
        </w:rPr>
      </w:pPr>
    </w:p>
    <w:p w14:paraId="716C0391" w14:textId="4C9883A9" w:rsidR="00217C52" w:rsidRDefault="0098110E" w:rsidP="0098110E">
      <w:pPr>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z w:val="24"/>
          <w:szCs w:val="20"/>
        </w:rPr>
        <w:tab/>
      </w:r>
      <w:r w:rsidRPr="001F02CF">
        <w:rPr>
          <w:rFonts w:ascii="Times New Roman" w:eastAsia="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p>
    <w:p w14:paraId="11FFB8C6" w14:textId="116C7F5B" w:rsidR="00217C52" w:rsidRDefault="00217C52">
      <w:pPr>
        <w:spacing w:after="160" w:line="259" w:lineRule="auto"/>
        <w:rPr>
          <w:rFonts w:ascii="Times New Roman" w:eastAsia="Times New Roman" w:hAnsi="Times New Roman" w:cs="Times New Roman"/>
          <w:sz w:val="24"/>
          <w:szCs w:val="24"/>
        </w:rPr>
      </w:pPr>
    </w:p>
    <w:sectPr w:rsidR="00217C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F6F53" w14:textId="77777777" w:rsidR="009600E6" w:rsidRDefault="009600E6" w:rsidP="0098110E">
      <w:pPr>
        <w:spacing w:after="0" w:line="240" w:lineRule="auto"/>
      </w:pPr>
      <w:r>
        <w:separator/>
      </w:r>
    </w:p>
  </w:endnote>
  <w:endnote w:type="continuationSeparator" w:id="0">
    <w:p w14:paraId="23054FA5" w14:textId="77777777" w:rsidR="009600E6" w:rsidRDefault="009600E6" w:rsidP="0098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A75" w14:textId="3C3A0C60" w:rsidR="0098110E" w:rsidRPr="0044260D" w:rsidRDefault="00C71EA5" w:rsidP="00C71EA5">
    <w:pPr>
      <w:spacing w:after="0" w:line="240" w:lineRule="auto"/>
      <w:ind w:left="2160" w:hanging="2160"/>
      <w:jc w:val="center"/>
    </w:pPr>
    <w:sdt>
      <w:sdtPr>
        <w:id w:val="1710841892"/>
        <w:docPartObj>
          <w:docPartGallery w:val="Page Numbers (Bottom of Page)"/>
          <w:docPartUnique/>
        </w:docPartObj>
      </w:sdtPr>
      <w:sdtEndPr/>
      <w:sdtContent>
        <w:sdt>
          <w:sdtPr>
            <w:id w:val="860082579"/>
            <w:docPartObj>
              <w:docPartGallery w:val="Page Numbers (Top of Page)"/>
              <w:docPartUnique/>
            </w:docPartObj>
          </w:sdtPr>
          <w:sdtEndPr/>
          <w:sdtContent>
            <w:r w:rsidR="0098110E" w:rsidRPr="00223958">
              <w:rPr>
                <w:rFonts w:ascii="Times New Roman" w:hAnsi="Times New Roman" w:cs="Times New Roman"/>
                <w:sz w:val="24"/>
              </w:rPr>
              <w:t xml:space="preserve">Page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PAGE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1</w:t>
            </w:r>
            <w:r w:rsidR="0098110E" w:rsidRPr="00223958">
              <w:rPr>
                <w:rFonts w:ascii="Times New Roman" w:hAnsi="Times New Roman" w:cs="Times New Roman"/>
                <w:bCs/>
                <w:sz w:val="24"/>
              </w:rPr>
              <w:fldChar w:fldCharType="end"/>
            </w:r>
            <w:r w:rsidR="0098110E" w:rsidRPr="00223958">
              <w:rPr>
                <w:rFonts w:ascii="Times New Roman" w:hAnsi="Times New Roman" w:cs="Times New Roman"/>
                <w:sz w:val="24"/>
              </w:rPr>
              <w:t xml:space="preserve"> of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NUMPAGES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2</w:t>
            </w:r>
            <w:r w:rsidR="0098110E" w:rsidRPr="00223958">
              <w:rPr>
                <w:rFonts w:ascii="Times New Roman" w:hAnsi="Times New Roman" w:cs="Times New Roman"/>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88E2" w14:textId="77777777" w:rsidR="009600E6" w:rsidRDefault="009600E6" w:rsidP="0098110E">
      <w:pPr>
        <w:spacing w:after="0" w:line="240" w:lineRule="auto"/>
      </w:pPr>
      <w:r>
        <w:separator/>
      </w:r>
    </w:p>
  </w:footnote>
  <w:footnote w:type="continuationSeparator" w:id="0">
    <w:p w14:paraId="196EFC52" w14:textId="77777777" w:rsidR="009600E6" w:rsidRDefault="009600E6" w:rsidP="009811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E66A52"/>
    <w:multiLevelType w:val="hybridMultilevel"/>
    <w:tmpl w:val="005E8CB2"/>
    <w:lvl w:ilvl="0" w:tplc="4198F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FC7E22"/>
    <w:multiLevelType w:val="hybridMultilevel"/>
    <w:tmpl w:val="48927430"/>
    <w:lvl w:ilvl="0" w:tplc="2F486392">
      <w:start w:val="1"/>
      <w:numFmt w:val="decimal"/>
      <w:lvlText w:val="STF-JKA-1-%1"/>
      <w:lvlJc w:val="left"/>
      <w:pPr>
        <w:ind w:left="1260" w:hanging="360"/>
      </w:pPr>
      <w:rPr>
        <w:rFonts w:ascii="Times New Roman" w:hAnsi="Times New Roman" w:cs="Times New Roman" w:hint="default"/>
        <w:b/>
        <w:caps w:val="0"/>
        <w:smallCaps w:val="0"/>
        <w:strike w:val="0"/>
        <w:dstrike w:val="0"/>
        <w:color w:val="auto"/>
        <w:spacing w:val="0"/>
        <w:w w:val="100"/>
        <w:kern w:val="0"/>
        <w:position w:val="4"/>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lowerLetter"/>
      <w:lvlText w:val="%2)"/>
      <w:lvlJc w:val="left"/>
      <w:pPr>
        <w:ind w:left="1980" w:hanging="360"/>
      </w:pPr>
    </w:lvl>
    <w:lvl w:ilvl="2" w:tplc="04090001">
      <w:start w:val="1"/>
      <w:numFmt w:val="bullet"/>
      <w:lvlText w:val=""/>
      <w:lvlJc w:val="left"/>
      <w:pPr>
        <w:ind w:left="2700" w:hanging="180"/>
      </w:pPr>
      <w:rPr>
        <w:rFonts w:ascii="Symbol" w:hAnsi="Symbol" w:hint="default"/>
      </w:rPr>
    </w:lvl>
    <w:lvl w:ilvl="3" w:tplc="D67277C0">
      <w:start w:val="1"/>
      <w:numFmt w:val="decimal"/>
      <w:lvlText w:val="STF-123-%4"/>
      <w:lvlJc w:val="left"/>
      <w:pPr>
        <w:ind w:left="2250" w:hanging="360"/>
      </w:pPr>
      <w:rPr>
        <w:b/>
      </w:r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3" w15:restartNumberingAfterBreak="0">
    <w:nsid w:val="69C631F5"/>
    <w:multiLevelType w:val="hybridMultilevel"/>
    <w:tmpl w:val="C51444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 w15:restartNumberingAfterBreak="0">
    <w:nsid w:val="6E127C49"/>
    <w:multiLevelType w:val="hybridMultilevel"/>
    <w:tmpl w:val="C514448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276300086">
    <w:abstractNumId w:val="0"/>
  </w:num>
  <w:num w:numId="2" w16cid:durableId="103942889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4995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669830">
    <w:abstractNumId w:val="1"/>
  </w:num>
  <w:num w:numId="5" w16cid:durableId="1298991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98110E"/>
    <w:rsid w:val="00006265"/>
    <w:rsid w:val="00021F1B"/>
    <w:rsid w:val="00054D71"/>
    <w:rsid w:val="00062A95"/>
    <w:rsid w:val="00084E27"/>
    <w:rsid w:val="000857AE"/>
    <w:rsid w:val="000A6D55"/>
    <w:rsid w:val="000C735A"/>
    <w:rsid w:val="00106CCD"/>
    <w:rsid w:val="00136208"/>
    <w:rsid w:val="00170EC9"/>
    <w:rsid w:val="00183A87"/>
    <w:rsid w:val="001B35A4"/>
    <w:rsid w:val="001C7753"/>
    <w:rsid w:val="001D6AC7"/>
    <w:rsid w:val="0021671C"/>
    <w:rsid w:val="00217C52"/>
    <w:rsid w:val="00221424"/>
    <w:rsid w:val="00224BB7"/>
    <w:rsid w:val="00242B96"/>
    <w:rsid w:val="00244D9E"/>
    <w:rsid w:val="002A6ADB"/>
    <w:rsid w:val="0031152F"/>
    <w:rsid w:val="003526F1"/>
    <w:rsid w:val="003676E6"/>
    <w:rsid w:val="00371401"/>
    <w:rsid w:val="003B5E6F"/>
    <w:rsid w:val="003C7E40"/>
    <w:rsid w:val="004054C6"/>
    <w:rsid w:val="0044260D"/>
    <w:rsid w:val="004B3E0C"/>
    <w:rsid w:val="004D19C8"/>
    <w:rsid w:val="004E3EB5"/>
    <w:rsid w:val="00514184"/>
    <w:rsid w:val="0051493D"/>
    <w:rsid w:val="00514F3C"/>
    <w:rsid w:val="00572FD9"/>
    <w:rsid w:val="00573FFA"/>
    <w:rsid w:val="005A2CAC"/>
    <w:rsid w:val="005B19EC"/>
    <w:rsid w:val="00635B8C"/>
    <w:rsid w:val="006515A0"/>
    <w:rsid w:val="006568BD"/>
    <w:rsid w:val="00657843"/>
    <w:rsid w:val="0068084E"/>
    <w:rsid w:val="006A51FD"/>
    <w:rsid w:val="007028E1"/>
    <w:rsid w:val="007104DD"/>
    <w:rsid w:val="007111F9"/>
    <w:rsid w:val="00737DC8"/>
    <w:rsid w:val="00752D5E"/>
    <w:rsid w:val="0076760F"/>
    <w:rsid w:val="007C2662"/>
    <w:rsid w:val="007D4E96"/>
    <w:rsid w:val="00806EA0"/>
    <w:rsid w:val="008A418B"/>
    <w:rsid w:val="008C5FF8"/>
    <w:rsid w:val="009600E6"/>
    <w:rsid w:val="0096061C"/>
    <w:rsid w:val="00964C0A"/>
    <w:rsid w:val="0098110E"/>
    <w:rsid w:val="009831E4"/>
    <w:rsid w:val="009E1C45"/>
    <w:rsid w:val="00A460FB"/>
    <w:rsid w:val="00A747E0"/>
    <w:rsid w:val="00A81381"/>
    <w:rsid w:val="00AB0B0E"/>
    <w:rsid w:val="00AB10F0"/>
    <w:rsid w:val="00AD1AC6"/>
    <w:rsid w:val="00B070DA"/>
    <w:rsid w:val="00B17360"/>
    <w:rsid w:val="00B34EBE"/>
    <w:rsid w:val="00B520E1"/>
    <w:rsid w:val="00B8468A"/>
    <w:rsid w:val="00BD502A"/>
    <w:rsid w:val="00BF3320"/>
    <w:rsid w:val="00C52B55"/>
    <w:rsid w:val="00C71EA5"/>
    <w:rsid w:val="00C97722"/>
    <w:rsid w:val="00CB6C96"/>
    <w:rsid w:val="00D02E3F"/>
    <w:rsid w:val="00D24200"/>
    <w:rsid w:val="00D3254B"/>
    <w:rsid w:val="00D50308"/>
    <w:rsid w:val="00DA2B2A"/>
    <w:rsid w:val="00DA56E4"/>
    <w:rsid w:val="00DD0135"/>
    <w:rsid w:val="00E15A75"/>
    <w:rsid w:val="00E24405"/>
    <w:rsid w:val="00E26362"/>
    <w:rsid w:val="00E414AB"/>
    <w:rsid w:val="00E634C5"/>
    <w:rsid w:val="00E71F2E"/>
    <w:rsid w:val="00EA1F95"/>
    <w:rsid w:val="00EA7231"/>
    <w:rsid w:val="00EC03D9"/>
    <w:rsid w:val="00EC366D"/>
    <w:rsid w:val="00F35600"/>
    <w:rsid w:val="00F36706"/>
    <w:rsid w:val="00F5601F"/>
    <w:rsid w:val="00F61216"/>
    <w:rsid w:val="00FA68E4"/>
    <w:rsid w:val="00FC5C7E"/>
    <w:rsid w:val="6B937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F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10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10E"/>
    <w:rPr>
      <w:lang w:eastAsia="en-US"/>
    </w:rPr>
  </w:style>
  <w:style w:type="paragraph" w:styleId="Footer">
    <w:name w:val="footer"/>
    <w:basedOn w:val="Normal"/>
    <w:link w:val="FooterChar"/>
    <w:uiPriority w:val="99"/>
    <w:unhideWhenUsed/>
    <w:rsid w:val="00981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10E"/>
    <w:rPr>
      <w:lang w:eastAsia="en-US"/>
    </w:rPr>
  </w:style>
  <w:style w:type="character" w:customStyle="1" w:styleId="normaltextrun1">
    <w:name w:val="normaltextrun1"/>
    <w:basedOn w:val="DefaultParagraphFont"/>
    <w:rsid w:val="00217C52"/>
  </w:style>
  <w:style w:type="paragraph" w:styleId="ListParagraph">
    <w:name w:val="List Paragraph"/>
    <w:basedOn w:val="Normal"/>
    <w:uiPriority w:val="34"/>
    <w:qFormat/>
    <w:rsid w:val="00217C52"/>
    <w:pPr>
      <w:spacing w:after="0" w:line="240" w:lineRule="auto"/>
      <w:ind w:left="720" w:hanging="360"/>
    </w:pPr>
    <w:rPr>
      <w:rFonts w:ascii="Calibri" w:eastAsia="Times New Roman" w:hAnsi="Calibri" w:cs="Calibri"/>
    </w:rPr>
  </w:style>
  <w:style w:type="paragraph" w:styleId="Revision">
    <w:name w:val="Revision"/>
    <w:hidden/>
    <w:uiPriority w:val="99"/>
    <w:semiHidden/>
    <w:rsid w:val="0051493D"/>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1650">
      <w:bodyDiv w:val="1"/>
      <w:marLeft w:val="0"/>
      <w:marRight w:val="0"/>
      <w:marTop w:val="0"/>
      <w:marBottom w:val="0"/>
      <w:divBdr>
        <w:top w:val="none" w:sz="0" w:space="0" w:color="auto"/>
        <w:left w:val="none" w:sz="0" w:space="0" w:color="auto"/>
        <w:bottom w:val="none" w:sz="0" w:space="0" w:color="auto"/>
        <w:right w:val="none" w:sz="0" w:space="0" w:color="auto"/>
      </w:divBdr>
    </w:div>
    <w:div w:id="194021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2453</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2025-05-30T15:21:00Z</dcterms:created>
  <dcterms:modified xsi:type="dcterms:W3CDTF">2025-05-30T18:03:00Z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2025-05-18T21:50:08Z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9b904815-1a6b-403d-81e5-70756a5d9b42</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SWDocID">
    <vt:lpwstr>315460373v2</vt:lpwstr>
  </property>
</Properties>
</file>